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A" w:rsidRPr="00E358FA" w:rsidRDefault="00E358FA" w:rsidP="00E358F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358F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22.11.1995 N 171-ФЗ (ред. от 26.03.2022)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E358FA" w:rsidRPr="00E358FA" w:rsidRDefault="00E358FA" w:rsidP="00E358F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E358FA" w:rsidRPr="00E358FA" w:rsidRDefault="00E358FA" w:rsidP="00E358F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E358FA" w:rsidRPr="00E358FA" w:rsidRDefault="00E358FA" w:rsidP="00E358F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370"/>
      <w:bookmarkStart w:id="3" w:name="100005"/>
      <w:bookmarkEnd w:id="2"/>
      <w:bookmarkEnd w:id="3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ГОСУДАРСТВЕННОМ РЕГУЛИРОВАНИИ ПРОИЗВОДСТВА</w:t>
      </w:r>
    </w:p>
    <w:p w:rsidR="00E358FA" w:rsidRPr="00E358FA" w:rsidRDefault="00E358FA" w:rsidP="00E358F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 ОБОРОТА ЭТИЛОВОГО СПИРТА,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АЛКОГОЛЬНОЙ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СПИРТОСОДЕРЖАЩЕЙ</w:t>
      </w:r>
    </w:p>
    <w:p w:rsidR="00E358FA" w:rsidRPr="00E358FA" w:rsidRDefault="00E358FA" w:rsidP="00E358F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ПРОДУКЦИИ И ОБ ОГРАНИЧЕНИИ ПОТРЕБЛЕНИЯ (РАСПИТИЯ)</w:t>
      </w:r>
    </w:p>
    <w:p w:rsidR="00E358FA" w:rsidRPr="00E358FA" w:rsidRDefault="00E358FA" w:rsidP="00E358F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АЛКОГОЛЬНОЙ ПРОДУКЦИИ</w:t>
      </w:r>
    </w:p>
    <w:p w:rsidR="00E358FA" w:rsidRPr="00E358FA" w:rsidRDefault="00E358FA" w:rsidP="00E358F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E358FA" w:rsidRPr="00E358FA" w:rsidRDefault="00E358FA" w:rsidP="00E358F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E358FA" w:rsidRPr="00E358FA" w:rsidRDefault="00E358FA" w:rsidP="00E358F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 июля 1995 года</w:t>
      </w:r>
    </w:p>
    <w:p w:rsidR="00E358FA" w:rsidRPr="00E358FA" w:rsidRDefault="00E358FA" w:rsidP="00E358F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E358FA" w:rsidRPr="00E358FA" w:rsidRDefault="00E358FA" w:rsidP="00E358F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E358FA" w:rsidRPr="00E358FA" w:rsidRDefault="00E358FA" w:rsidP="00E358F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 ноября 1995 года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Start w:id="7" w:name="100067"/>
      <w:bookmarkStart w:id="8" w:name="100414"/>
      <w:bookmarkStart w:id="9" w:name="100082"/>
      <w:bookmarkStart w:id="10" w:name="100083"/>
      <w:bookmarkStart w:id="11" w:name="100084"/>
      <w:bookmarkStart w:id="12" w:name="100085"/>
      <w:bookmarkStart w:id="13" w:name="100086"/>
      <w:bookmarkStart w:id="14" w:name="000057"/>
      <w:bookmarkStart w:id="15" w:name="100128"/>
      <w:bookmarkStart w:id="16" w:name="100813"/>
      <w:bookmarkStart w:id="17" w:name="000587"/>
      <w:bookmarkStart w:id="18" w:name="100437"/>
      <w:bookmarkStart w:id="19" w:name="100140"/>
      <w:bookmarkStart w:id="20" w:name="000220"/>
      <w:bookmarkStart w:id="21" w:name="100141"/>
      <w:bookmarkStart w:id="22" w:name="000107"/>
      <w:bookmarkStart w:id="23" w:name="100142"/>
      <w:bookmarkStart w:id="24" w:name="100143"/>
      <w:bookmarkStart w:id="25" w:name="100144"/>
      <w:bookmarkStart w:id="26" w:name="100145"/>
      <w:bookmarkStart w:id="27" w:name="000108"/>
      <w:bookmarkStart w:id="28" w:name="000109"/>
      <w:bookmarkStart w:id="29" w:name="000110"/>
      <w:bookmarkStart w:id="30" w:name="100361"/>
      <w:bookmarkStart w:id="31" w:name="000111"/>
      <w:bookmarkStart w:id="32" w:name="100358"/>
      <w:bookmarkStart w:id="33" w:name="000112"/>
      <w:bookmarkStart w:id="34" w:name="000113"/>
      <w:bookmarkStart w:id="35" w:name="100146"/>
      <w:bookmarkStart w:id="36" w:name="100147"/>
      <w:bookmarkStart w:id="37" w:name="000114"/>
      <w:bookmarkStart w:id="38" w:name="000115"/>
      <w:bookmarkStart w:id="39" w:name="000116"/>
      <w:bookmarkStart w:id="40" w:name="000117"/>
      <w:bookmarkStart w:id="41" w:name="100148"/>
      <w:bookmarkStart w:id="42" w:name="000118"/>
      <w:bookmarkStart w:id="43" w:name="100149"/>
      <w:bookmarkStart w:id="44" w:name="100451"/>
      <w:bookmarkStart w:id="45" w:name="000353"/>
      <w:bookmarkStart w:id="46" w:name="100459"/>
      <w:bookmarkStart w:id="47" w:name="000454"/>
      <w:bookmarkStart w:id="48" w:name="000588"/>
      <w:bookmarkStart w:id="49" w:name="000445"/>
      <w:bookmarkStart w:id="50" w:name="000344"/>
      <w:bookmarkStart w:id="51" w:name="100438"/>
      <w:bookmarkStart w:id="52" w:name="000589"/>
      <w:bookmarkStart w:id="53" w:name="000345"/>
      <w:bookmarkStart w:id="54" w:name="100439"/>
      <w:bookmarkStart w:id="55" w:name="000590"/>
      <w:bookmarkStart w:id="56" w:name="000446"/>
      <w:bookmarkStart w:id="57" w:name="000591"/>
      <w:bookmarkStart w:id="58" w:name="100440"/>
      <w:bookmarkStart w:id="59" w:name="100444"/>
      <w:bookmarkStart w:id="60" w:name="000592"/>
      <w:bookmarkStart w:id="61" w:name="100441"/>
      <w:bookmarkStart w:id="62" w:name="000346"/>
      <w:bookmarkStart w:id="63" w:name="100442"/>
      <w:bookmarkStart w:id="64" w:name="000593"/>
      <w:bookmarkStart w:id="65" w:name="000594"/>
      <w:bookmarkStart w:id="66" w:name="000595"/>
      <w:bookmarkStart w:id="67" w:name="000596"/>
      <w:bookmarkStart w:id="68" w:name="000597"/>
      <w:bookmarkStart w:id="69" w:name="000598"/>
      <w:bookmarkStart w:id="70" w:name="000599"/>
      <w:bookmarkStart w:id="71" w:name="000600"/>
      <w:bookmarkStart w:id="72" w:name="100443"/>
      <w:bookmarkStart w:id="73" w:name="000601"/>
      <w:bookmarkStart w:id="74" w:name="100445"/>
      <w:bookmarkStart w:id="75" w:name="000602"/>
      <w:bookmarkStart w:id="76" w:name="000603"/>
      <w:bookmarkStart w:id="77" w:name="000604"/>
      <w:bookmarkStart w:id="78" w:name="000605"/>
      <w:bookmarkStart w:id="79" w:name="100446"/>
      <w:bookmarkStart w:id="80" w:name="000606"/>
      <w:bookmarkStart w:id="81" w:name="000607"/>
      <w:bookmarkStart w:id="82" w:name="000608"/>
      <w:bookmarkStart w:id="83" w:name="000609"/>
      <w:bookmarkStart w:id="84" w:name="000610"/>
      <w:bookmarkStart w:id="85" w:name="000611"/>
      <w:bookmarkStart w:id="86" w:name="000612"/>
      <w:bookmarkStart w:id="87" w:name="000613"/>
      <w:bookmarkStart w:id="88" w:name="000248"/>
      <w:bookmarkStart w:id="89" w:name="100447"/>
      <w:bookmarkStart w:id="90" w:name="000614"/>
      <w:bookmarkStart w:id="91" w:name="100448"/>
      <w:bookmarkStart w:id="92" w:name="000615"/>
      <w:bookmarkStart w:id="93" w:name="000616"/>
      <w:bookmarkStart w:id="94" w:name="000617"/>
      <w:bookmarkStart w:id="95" w:name="100706"/>
      <w:bookmarkStart w:id="96" w:name="000618"/>
      <w:bookmarkStart w:id="97" w:name="000619"/>
      <w:bookmarkStart w:id="98" w:name="000620"/>
      <w:bookmarkStart w:id="99" w:name="000447"/>
      <w:bookmarkStart w:id="100" w:name="000621"/>
      <w:bookmarkStart w:id="101" w:name="000347"/>
      <w:bookmarkStart w:id="102" w:name="100449"/>
      <w:bookmarkStart w:id="103" w:name="000622"/>
      <w:bookmarkStart w:id="104" w:name="000623"/>
      <w:bookmarkStart w:id="105" w:name="000624"/>
      <w:bookmarkStart w:id="106" w:name="000625"/>
      <w:bookmarkStart w:id="107" w:name="000626"/>
      <w:bookmarkStart w:id="108" w:name="000627"/>
      <w:bookmarkStart w:id="109" w:name="000628"/>
      <w:bookmarkStart w:id="110" w:name="000629"/>
      <w:bookmarkStart w:id="111" w:name="000630"/>
      <w:bookmarkStart w:id="112" w:name="000631"/>
      <w:bookmarkStart w:id="113" w:name="000632"/>
      <w:bookmarkStart w:id="114" w:name="000633"/>
      <w:bookmarkStart w:id="115" w:name="000448"/>
      <w:bookmarkStart w:id="116" w:name="000348"/>
      <w:bookmarkStart w:id="117" w:name="100450"/>
      <w:bookmarkStart w:id="118" w:name="000634"/>
      <w:bookmarkStart w:id="119" w:name="000635"/>
      <w:bookmarkStart w:id="120" w:name="100452"/>
      <w:bookmarkStart w:id="121" w:name="000636"/>
      <w:bookmarkStart w:id="122" w:name="000637"/>
      <w:bookmarkStart w:id="123" w:name="000638"/>
      <w:bookmarkStart w:id="124" w:name="000639"/>
      <w:bookmarkStart w:id="125" w:name="000449"/>
      <w:bookmarkStart w:id="126" w:name="000640"/>
      <w:bookmarkStart w:id="127" w:name="000450"/>
      <w:bookmarkStart w:id="128" w:name="000349"/>
      <w:bookmarkStart w:id="129" w:name="100453"/>
      <w:bookmarkStart w:id="130" w:name="000641"/>
      <w:bookmarkStart w:id="131" w:name="100454"/>
      <w:bookmarkStart w:id="132" w:name="000642"/>
      <w:bookmarkStart w:id="133" w:name="100455"/>
      <w:bookmarkStart w:id="134" w:name="000643"/>
      <w:bookmarkStart w:id="135" w:name="000451"/>
      <w:bookmarkStart w:id="136" w:name="000644"/>
      <w:bookmarkStart w:id="137" w:name="000452"/>
      <w:bookmarkStart w:id="138" w:name="000350"/>
      <w:bookmarkStart w:id="139" w:name="100456"/>
      <w:bookmarkStart w:id="140" w:name="000645"/>
      <w:bookmarkStart w:id="141" w:name="000453"/>
      <w:bookmarkStart w:id="142" w:name="000351"/>
      <w:bookmarkStart w:id="143" w:name="100457"/>
      <w:bookmarkStart w:id="144" w:name="000646"/>
      <w:bookmarkStart w:id="145" w:name="000352"/>
      <w:bookmarkStart w:id="146" w:name="100458"/>
      <w:bookmarkStart w:id="147" w:name="000647"/>
      <w:bookmarkStart w:id="148" w:name="000648"/>
      <w:bookmarkStart w:id="149" w:name="000649"/>
      <w:bookmarkStart w:id="150" w:name="100460"/>
      <w:bookmarkStart w:id="151" w:name="000650"/>
      <w:bookmarkStart w:id="152" w:name="000651"/>
      <w:bookmarkStart w:id="153" w:name="000652"/>
      <w:bookmarkStart w:id="154" w:name="00065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001386"/>
      <w:bookmarkStart w:id="156" w:name="100814"/>
      <w:bookmarkEnd w:id="155"/>
      <w:bookmarkEnd w:id="15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а также вина, игристого вина,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815"/>
      <w:bookmarkEnd w:id="157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Розничная продажа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медовухи и розничная продажа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001387"/>
      <w:bookmarkStart w:id="159" w:name="100816"/>
      <w:bookmarkEnd w:id="158"/>
      <w:bookmarkEnd w:id="15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произведенных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ими вина, игристого вина.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817"/>
      <w:bookmarkEnd w:id="16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 </w:t>
      </w:r>
      <w:hyperlink r:id="rId5" w:anchor="100844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пунктах 3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" w:anchor="100858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не допускаются: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818"/>
      <w:bookmarkEnd w:id="161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1) в зданиях, строениях, сооружениях, помещениях, находящихся во владении, распоряжении и (или) пользовании: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819"/>
      <w:bookmarkEnd w:id="162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образовательных организаций;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820"/>
      <w:bookmarkEnd w:id="163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821"/>
      <w:bookmarkEnd w:id="164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822"/>
      <w:bookmarkEnd w:id="165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823"/>
      <w:bookmarkEnd w:id="16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824"/>
      <w:bookmarkEnd w:id="167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на спортивных сооружениях, которые являются объектами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недвижимости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права на которые зарегистрированы в установленном порядке;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825"/>
      <w:bookmarkEnd w:id="168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на оптовых и розничных рынках;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826"/>
      <w:bookmarkEnd w:id="16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827"/>
      <w:bookmarkEnd w:id="170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Федерации;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828"/>
      <w:bookmarkEnd w:id="17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на вокзалах, в аэропортах;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829"/>
      <w:bookmarkEnd w:id="172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830"/>
      <w:bookmarkEnd w:id="173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 местах массового скопления граждан в период проведения публичных мероприятий, организуемых в соответствии с Федеральным </w:t>
      </w:r>
      <w:hyperlink r:id="rId7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19 июня 2004 года N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831"/>
      <w:bookmarkEnd w:id="174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в нестационарных торговых объектах, за исключением случаев, предусмотренных настоящим Федеральным законом;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832"/>
      <w:bookmarkEnd w:id="175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на территориях, прилегающих: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833"/>
      <w:bookmarkEnd w:id="17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834"/>
      <w:bookmarkEnd w:id="177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835"/>
      <w:bookmarkEnd w:id="178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836"/>
      <w:bookmarkEnd w:id="17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спортивным сооружениям, которые являются объектами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недвижимости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права на которые зарегистрированы в установленном порядке;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837"/>
      <w:bookmarkEnd w:id="18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местам, указанным в </w:t>
      </w:r>
      <w:hyperlink r:id="rId8" w:anchor="100827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5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9" w:anchor="100829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838"/>
      <w:bookmarkEnd w:id="18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 </w:t>
      </w:r>
      <w:hyperlink r:id="rId10" w:anchor="100833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абзацами вторым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11" w:anchor="10083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четвертым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839"/>
      <w:bookmarkEnd w:id="182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1388"/>
      <w:bookmarkStart w:id="184" w:name="001184"/>
      <w:bookmarkStart w:id="185" w:name="100840"/>
      <w:bookmarkEnd w:id="183"/>
      <w:bookmarkEnd w:id="184"/>
      <w:bookmarkEnd w:id="185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без соответствующей лицензии, без сопроводительных документов в соответствии с требованиями </w:t>
      </w:r>
      <w:hyperlink r:id="rId12" w:anchor="000072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10.2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без информации, установленной </w:t>
      </w:r>
      <w:hyperlink r:id="rId13" w:anchor="10009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статьи 11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 в соответствии со </w:t>
      </w:r>
      <w:hyperlink r:id="rId14" w:anchor="100107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без соблюдения требований к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розничной продаже винодельческой продукции,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установленных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законодательством о виноградарстве и виноделии;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001185"/>
      <w:bookmarkStart w:id="187" w:name="100841"/>
      <w:bookmarkEnd w:id="186"/>
      <w:bookmarkEnd w:id="187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13) без предоставления покупателю документа с наличием на нем штрихового кода, содержащего сведения по перечню, утвержденному федеральным органом по контролю и надзору,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</w:t>
      </w:r>
      <w:hyperlink r:id="rId15" w:anchor="100669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2.1 статьи 8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842"/>
      <w:bookmarkEnd w:id="188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14) дистанционным способом;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843"/>
      <w:bookmarkEnd w:id="18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1444"/>
      <w:bookmarkEnd w:id="19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2.1. Ограничения, установленные настоящей статьей, распространяются на безвозмездную раздачу образцов винодельческой продукции для дегустации винодельческой продукции, за исключением случаев, установленных настоящим Федеральным законом.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001445"/>
      <w:bookmarkStart w:id="192" w:name="100844"/>
      <w:bookmarkEnd w:id="191"/>
      <w:bookmarkEnd w:id="192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Запрет на розничную продажу алкогольной продукции и безвозмездную раздачу образцов винодельческой продукции, произведенной в государствах - членах ЕАЭС из выращенного на территориях этих государств винограда, для дегустации винодельческой продукции в местах, указанных: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001389"/>
      <w:bookmarkStart w:id="194" w:name="100845"/>
      <w:bookmarkEnd w:id="193"/>
      <w:bookmarkEnd w:id="194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в </w:t>
      </w:r>
      <w:hyperlink r:id="rId16" w:anchor="10082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3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вина, игристого вина;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846"/>
      <w:bookmarkEnd w:id="195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 </w:t>
      </w:r>
      <w:hyperlink r:id="rId17" w:anchor="100828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6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8" w:anchor="100831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 не распространяется на розничную продажу алкогольной продукции, осуществляемую в магазинах беспошлинной торговли;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001446"/>
      <w:bookmarkEnd w:id="19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 </w:t>
      </w:r>
      <w:hyperlink r:id="rId19" w:anchor="10082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3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20" w:anchor="100831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 не распространяется на розничную продажу винодельческой продукции (за исключением коньяка, бренди и виноградной водки) и безвозмездную раздачу образцов такой продукции для дегустации винодельческой продукции.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941"/>
      <w:bookmarkStart w:id="198" w:name="100847"/>
      <w:bookmarkEnd w:id="197"/>
      <w:bookmarkEnd w:id="198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Розничная продажа алкогольной продукции при оказании услуг общественного питания осуществляется только в объектах общественного питания, имеющих зал обслуживания посетителей (далее - объект общественного питания), вагонах-ресторанах (вагонах-кафе, вагонах-буфетах, вагонах-барах), а также на морских судах и судах смешанного река-море плавания, внутреннего плавания (далее - водные суда), воздушных судах, за исключением случаев, указанных в настоящем пункте.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848"/>
      <w:bookmarkEnd w:id="19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849"/>
      <w:bookmarkEnd w:id="20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001186"/>
      <w:bookmarkStart w:id="202" w:name="000846"/>
      <w:bookmarkStart w:id="203" w:name="100850"/>
      <w:bookmarkEnd w:id="201"/>
      <w:bookmarkEnd w:id="202"/>
      <w:bookmarkEnd w:id="203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розничной продажи алкогольной продукции при оказании услуг общественного питания в условиях выездного обслуживания (далее в настоящем пункте - выездное обслуживание) допускается только при условии соответствия места, в котором осуществляется выездное обслуживание, требованиям </w:t>
      </w:r>
      <w:hyperlink r:id="rId21" w:anchor="100864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7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выездного обслуживания (за исключением розничной продажи алкогольной продукции при оказании услуг общественного питания на воздушных судах, водных судах и железнодорожном транспорте, а также в жилых помещениях жилищного фонда) организацией, имеющей лицензию на розничную продажу алкогольной продукции при оказании услуг общественного питания, допускается только при условии представления такой организацией в лицензирующий орган уведомления о заказчике, дате, времени и месте осуществления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выездного обслуживания в форме электронного документа. Форма и правила представления уведомления устанавливаются Правительством Российской Федерации.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851"/>
      <w:bookmarkEnd w:id="204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Ограничения, установленные настоящим пунктом, не распространяются на случаи продажи алкогольной продукции при оказании услуг общественного питания через мини-бары, находящиеся в гостиничном номере.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000942"/>
      <w:bookmarkEnd w:id="205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4.1.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000943"/>
      <w:bookmarkEnd w:id="20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000944"/>
      <w:bookmarkEnd w:id="207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1187"/>
      <w:bookmarkStart w:id="209" w:name="000945"/>
      <w:bookmarkEnd w:id="208"/>
      <w:bookmarkEnd w:id="209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том числе о полном запрете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форме электронных документов в трехдневный срок со дня получения запроса.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852"/>
      <w:bookmarkEnd w:id="21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объектах общественного питания, в вагонах-ресторанах (вагонах-кафе, вагонах-буфетах, вагонах-барах), на водных судах и воздушных судах не допускается розничная продажа алкогольной продукции, за исключением: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853"/>
      <w:bookmarkEnd w:id="21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розничной продажи алкогольной продукции, осуществляемой организациями,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854"/>
      <w:bookmarkEnd w:id="212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розничной продажи алкогольной продукции, связанной с оказанием услуг общественного питания.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855"/>
      <w:bookmarkEnd w:id="213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100856"/>
      <w:bookmarkEnd w:id="214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Организации, осуществляющие перевозки пассажиров на воздушных судах, вправе осуществлять розничную продажу физическим лицам алкогольной продукции от имени и по поручению организации, имеющей лицензию на розничную продажу алкогольной продукции, в случае, если указанная продукция размещена на бортах воздушных судов в качестве </w:t>
      </w: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припасов в соответствии с правом ЕАЭС и законодательством Российской Федерации о таможенном деле.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100857"/>
      <w:bookmarkEnd w:id="215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Организации, осуществляющие перевозки пассажиров на воздушных судах,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организации, имеющей лицензию на розничную продажу алкогольной продукции при оказании услуг общественного питания, полученной по договору, заключенному между этими организациями.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100858"/>
      <w:bookmarkEnd w:id="21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Запрет на розничную продажу алкогольной продукции при оказании услуг общественного питания в местах, указанных: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859"/>
      <w:bookmarkEnd w:id="217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в </w:t>
      </w:r>
      <w:hyperlink r:id="rId22" w:anchor="100822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пятом подпункта 1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в концертных и театральных залах, парках;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8" w:name="100860"/>
      <w:bookmarkEnd w:id="218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 </w:t>
      </w:r>
      <w:hyperlink r:id="rId23" w:anchor="10082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3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24" w:anchor="100831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- не распространяется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100861"/>
      <w:bookmarkEnd w:id="219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 </w:t>
      </w:r>
      <w:hyperlink r:id="rId25" w:anchor="100826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4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на железнодорожном, водном и воздушном транспорте общего пользования междугородного и международного сообщения, а также на железнодорожном, водном и воздушном транспорте, не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относящемся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транспорту общего пользования;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862"/>
      <w:bookmarkEnd w:id="22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 </w:t>
      </w:r>
      <w:hyperlink r:id="rId26" w:anchor="100828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6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863"/>
      <w:bookmarkEnd w:id="22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 </w:t>
      </w:r>
      <w:hyperlink r:id="rId27" w:anchor="100836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пятом подпункта 10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001447"/>
      <w:bookmarkStart w:id="223" w:name="100864"/>
      <w:bookmarkEnd w:id="222"/>
      <w:bookmarkEnd w:id="223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допускается потребление (распитие) алкогольной продукции в местах, указанных в </w:t>
      </w:r>
      <w:hyperlink r:id="rId28" w:anchor="100818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1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29" w:anchor="100831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</w:t>
      </w: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лесами, скверами, парками, городскими садами, прудами, озерами, водохранилищами, пляжами, в границах иных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общественного питания в местах оказания таких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услуг, потребления (распития) винодельческой продукции (за исключением коньяка, бренди и виноградной водки) в местах, указанных в </w:t>
      </w:r>
      <w:hyperlink r:id="rId30" w:anchor="10082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3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31" w:anchor="100831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при проведении дегустации винодельческой продукции, а также несовершеннолетними.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865"/>
      <w:bookmarkEnd w:id="224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000946"/>
      <w:bookmarkStart w:id="226" w:name="100866"/>
      <w:bookmarkEnd w:id="225"/>
      <w:bookmarkEnd w:id="22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Границы прилегающих территорий, указанных в </w:t>
      </w:r>
      <w:hyperlink r:id="rId32" w:anchor="100832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10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33" w:anchor="000942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первом пункта 4.1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определяются с учетом результатов общественных обсуждений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правилами, установленными Правительством Российской Федерации.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867"/>
      <w:bookmarkEnd w:id="227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субъекта Российской Федерации, уполномоченные на осуществление государственного контроля (надзора) в области производства и оборота этилового спирта, алкогольной и спиртосодержащей продукции, за исключением случаев, если соответствующие полномочия переданы органам местного самоуправления в соответствии с </w:t>
      </w:r>
      <w:hyperlink r:id="rId34" w:anchor="100069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 статьи 7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информируют органы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 индивидуальных предпринимателях, осуществляющих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предпринимателями услуг общественного питания.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868"/>
      <w:bookmarkEnd w:id="228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указанных в </w:t>
      </w:r>
      <w:hyperlink r:id="rId35" w:anchor="100832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10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настоящей статьи, информируют о нем расположенные на их территориях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а также организации, осуществляющие розничную продажу алкогольной продукции, индивидуальных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предпринимателей, осуществляющих розничную продажу пива, пивных </w:t>
      </w: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869"/>
      <w:bookmarkEnd w:id="22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информирования, предусмотренного </w:t>
      </w:r>
      <w:hyperlink r:id="rId36" w:anchor="100867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абзацами вторым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37" w:anchor="100868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третьим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устанавливают органы государственной власти субъектов Российской Федерации.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870"/>
      <w:bookmarkEnd w:id="23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Органы государственной власти субъектов Российской Федерации представляют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уполномоченный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 </w:t>
      </w:r>
      <w:hyperlink r:id="rId38" w:anchor="100832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10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в форме электронных документов в трехдневный срок со дня получения запроса.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871"/>
      <w:bookmarkEnd w:id="23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000947"/>
      <w:bookmarkStart w:id="233" w:name="100872"/>
      <w:bookmarkEnd w:id="232"/>
      <w:bookmarkEnd w:id="233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настоящей статьей.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001188"/>
      <w:bookmarkStart w:id="235" w:name="100873"/>
      <w:bookmarkEnd w:id="234"/>
      <w:bookmarkEnd w:id="235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требования к минимальному размеру уставного капитала (уставного фонда) в размере не более чем 1 миллион рублей.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001189"/>
      <w:bookmarkStart w:id="237" w:name="100874"/>
      <w:bookmarkEnd w:id="236"/>
      <w:bookmarkEnd w:id="237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962"/>
      <w:bookmarkStart w:id="239" w:name="100875"/>
      <w:bookmarkEnd w:id="238"/>
      <w:bookmarkEnd w:id="23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медовухи) в городских населенных пунктах, используют для таких целей находящиеся в собственности, хозяйственном ведении, </w:t>
      </w: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50 квадратных метров по каждому месту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963"/>
      <w:bookmarkStart w:id="241" w:name="100876"/>
      <w:bookmarkEnd w:id="240"/>
      <w:bookmarkEnd w:id="241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медовухи) в сельских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25 квадратных метров по каждому месту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964"/>
      <w:bookmarkStart w:id="243" w:name="100877"/>
      <w:bookmarkEnd w:id="242"/>
      <w:bookmarkEnd w:id="243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Организации, осуществляющие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медовухи, используют для таких целей находящиеся в собственности, хозяйственном ведении, оперативном управлении или в аренде складские помещения (при наличии) и стационарные торговые объекты.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001390"/>
      <w:bookmarkStart w:id="245" w:name="100878"/>
      <w:bookmarkEnd w:id="244"/>
      <w:bookmarkEnd w:id="245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Крестьянские (фермерские) хозяйства и индивидуальные предприниматели, признаваемые сельскохозяйственными товаропроизводителями и осуществляющие розничную продажу произведенных ими вина, игристого вина, должны иметь для таких целей в собственности или в аренде стационарные производственные помещения и (или) торговые объекты.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001391"/>
      <w:bookmarkStart w:id="247" w:name="100879"/>
      <w:bookmarkEnd w:id="246"/>
      <w:bookmarkEnd w:id="247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Розничная продажа вина, игристого вина, произведенных крестьянскими (фермерскими) хозяйствами и индивидуальными предпринимателями, признаваемыми сельскохозяйственными товаропроизводителями, может осуществляться в стационарных производственных помещениях по месту нахождения производства этой продукции и (или) в торговых объектах.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965"/>
      <w:bookmarkStart w:id="249" w:name="100880"/>
      <w:bookmarkEnd w:id="248"/>
      <w:bookmarkEnd w:id="249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Складские помещения, находящиеся не по месту нахождения торгового зала магазина беспошлинной торговли, но расположенные в регионе деятельности таможенного органа, в котором функционирует магазин беспошлинной торговли, подлежат включению в лицензию на розничную продажу алкогольной продукции, выданную организации, осуществляющей деятельность по обороту алкогольной продукции, помещаемой под таможенную процедуру беспошлинной торговли в данном магазине беспошлинной торговли.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001190"/>
      <w:bookmarkStart w:id="251" w:name="100881"/>
      <w:bookmarkEnd w:id="250"/>
      <w:bookmarkEnd w:id="25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1 января 2021 года. - Федеральный закон от 22.12.2020 N 436-ФЗ.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000759"/>
      <w:bookmarkStart w:id="253" w:name="100882"/>
      <w:bookmarkEnd w:id="252"/>
      <w:bookmarkEnd w:id="253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(за исключением бюджетных учреждений),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более, стационарные объекты общественного питания по каждому месту осуществления указанной деятельности.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000760"/>
      <w:bookmarkStart w:id="255" w:name="100883"/>
      <w:bookmarkEnd w:id="254"/>
      <w:bookmarkEnd w:id="255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Организации (за исключением бюджетных учреждений),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пуаре</w:t>
      </w:r>
      <w:proofErr w:type="spell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медовухи при </w:t>
      </w: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оказании услуг общественного питания, должны иметь для таких целей в собственности, хозяйственном ведении, оперативном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управлении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000761"/>
      <w:bookmarkEnd w:id="256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Бюджетные учреждения,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питания, должны иметь для таких целей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питания по каждому месту осуществления указанной деятельности.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000762"/>
      <w:bookmarkEnd w:id="257"/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Бюджетные учреждения,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должны иметь для таких целей в оперативном управлении, безвозмездном пользовании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100884"/>
      <w:bookmarkEnd w:id="258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001448"/>
      <w:bookmarkEnd w:id="259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о наличии стационарных торговых объектов, стационарных производственных помещений, отдельных складских помещений, указанные в </w:t>
      </w:r>
      <w:hyperlink r:id="rId39" w:anchor="10087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абзацах первом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40" w:anchor="100876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втором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41" w:anchor="001390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четвертом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42" w:anchor="001391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пятом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не распространяются на розничную продажу винодельческой продукции (за исключением коньяка, бренди и виноградной водки) на специализированных ярмарках винодельческой продукции.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885"/>
      <w:bookmarkEnd w:id="26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 </w:t>
      </w:r>
      <w:hyperlink r:id="rId43" w:anchor="100832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10 пункта 2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такие организации вправе продолжать осуществлять деятельность по розничной продаже алкогольной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порядке, установленном настоящим Федеральным законом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327"/>
      <w:bookmarkStart w:id="262" w:name="100150"/>
      <w:bookmarkStart w:id="263" w:name="100151"/>
      <w:bookmarkStart w:id="264" w:name="100152"/>
      <w:bookmarkStart w:id="265" w:name="100211"/>
      <w:bookmarkStart w:id="266" w:name="100249"/>
      <w:bookmarkEnd w:id="261"/>
      <w:bookmarkEnd w:id="262"/>
      <w:bookmarkEnd w:id="263"/>
      <w:bookmarkEnd w:id="264"/>
      <w:bookmarkEnd w:id="265"/>
      <w:bookmarkEnd w:id="26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Порядок обжалования решения лицензирующего органа</w:t>
      </w:r>
    </w:p>
    <w:p w:rsid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250"/>
      <w:bookmarkEnd w:id="267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Решение лицензирующего органа может быть обжаловано заявителем в лицензирующий орган и (или) в суд. Для рассмотрения жалобы по обращению заявителя может быть создана </w:t>
      </w:r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независимая экспертная комиссия с участием заявителя, представителей лицензирующих органов и независимых специалистов для проведения экспертизы.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компетенции.</w:t>
      </w:r>
    </w:p>
    <w:p w:rsid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_GoBack"/>
      <w:bookmarkEnd w:id="268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251"/>
      <w:bookmarkStart w:id="270" w:name="100262"/>
      <w:bookmarkEnd w:id="269"/>
      <w:bookmarkEnd w:id="27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24. Общественный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настоящего Федерального закона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263"/>
      <w:bookmarkEnd w:id="271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Общественный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настоящего Федерального закона осуществляется гражданами и общественными объединениями.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264"/>
      <w:bookmarkEnd w:id="272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265"/>
      <w:bookmarkEnd w:id="273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могут создаваться консультативно-экспертные советы при федеральных органах законодательной и исполнительной власти, органах законодательной и исполнительной власти субъектов Российской Федерации. Положение о консультативно-экспертном совете утверждается органом, принявшим решение о создании такого совета.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000504"/>
      <w:bookmarkEnd w:id="274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24.1. Саморегулируемая организация виноградарей и виноделов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000505"/>
      <w:bookmarkEnd w:id="275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Саморегулируемой организацией виноградарей и виноделов признается некоммерческая организация, которая основана на членстве, соответствует, если иное не установлено настоящим Федеральным законом, требованиям, предъявляемым к саморегулируемым организациям Федеральным </w:t>
      </w:r>
      <w:hyperlink r:id="rId44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 декабря 2007 года N 315-ФЗ "О саморегулируемых организациях", и объединяет в своем составе организации, осуществляющие производство и оборот винодельческой продукции, и (или) сельскохозяйственных товаропроизводителей.</w:t>
      </w:r>
      <w:proofErr w:type="gramEnd"/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000506"/>
      <w:bookmarkEnd w:id="276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Некоммерческая организация приобретает статус саморегулируемой организации виноградарей и виноделов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внесения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организаций, осуществляющих производство и оборот винодельческой продукции, и (или) сельскохозяйственных товаропроизводителей.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000507"/>
      <w:bookmarkEnd w:id="277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Структура, функции саморегулируемой организации виноградарей и виноделов, права, обязанности ее членов определяются в порядке, установленном Федеральным </w:t>
      </w:r>
      <w:hyperlink r:id="rId45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 декабря 2007 года N 315-ФЗ "О саморегулируемых организациях".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000508"/>
      <w:bookmarkEnd w:id="278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Наряду с функциями, установленными Федеральным </w:t>
      </w:r>
      <w:hyperlink r:id="rId46" w:anchor="100039" w:history="1">
        <w:r w:rsidRPr="00E35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 декабря 2007 года N 315-ФЗ "О саморегулируемых организациях", саморегулируемая организация виноградарей и виноделов осуществляет следующие функции: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001414"/>
      <w:bookmarkStart w:id="280" w:name="000509"/>
      <w:bookmarkEnd w:id="279"/>
      <w:bookmarkEnd w:id="280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продукции, производимой членами такой саморегулируемой организации, и осуществление </w:t>
      </w:r>
      <w:proofErr w:type="gramStart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данных стандартов;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001263"/>
      <w:bookmarkStart w:id="282" w:name="000510"/>
      <w:bookmarkEnd w:id="281"/>
      <w:bookmarkEnd w:id="282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утратил силу с 1 января 2021 года. - Федеральный закон от 22.12.2020 N 436-ФЗ;</w:t>
      </w:r>
    </w:p>
    <w:p w:rsidR="00E358FA" w:rsidRPr="00E358FA" w:rsidRDefault="00E358FA" w:rsidP="00E358F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001415"/>
      <w:bookmarkStart w:id="284" w:name="000511"/>
      <w:bookmarkEnd w:id="283"/>
      <w:bookmarkEnd w:id="284"/>
      <w:r w:rsidRPr="00E358F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3) утратил силу. - Федеральный закон от 02.07.2021 N 345-ФЗ.</w:t>
      </w:r>
    </w:p>
    <w:sectPr w:rsidR="00E358FA" w:rsidRPr="00E3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C"/>
    <w:rsid w:val="003066CC"/>
    <w:rsid w:val="0039251D"/>
    <w:rsid w:val="00A01E2A"/>
    <w:rsid w:val="00E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8FA"/>
  </w:style>
  <w:style w:type="paragraph" w:styleId="HTML">
    <w:name w:val="HTML Preformatted"/>
    <w:basedOn w:val="a"/>
    <w:link w:val="HTML0"/>
    <w:uiPriority w:val="99"/>
    <w:semiHidden/>
    <w:unhideWhenUsed/>
    <w:rsid w:val="00E3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58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E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8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8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8FA"/>
  </w:style>
  <w:style w:type="paragraph" w:styleId="HTML">
    <w:name w:val="HTML Preformatted"/>
    <w:basedOn w:val="a"/>
    <w:link w:val="HTML0"/>
    <w:uiPriority w:val="99"/>
    <w:semiHidden/>
    <w:unhideWhenUsed/>
    <w:rsid w:val="00E3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58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E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8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8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8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6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9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1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4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2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egalacts.ru/doc/federalnyi-zakon-ot-19062004-n-54-fz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9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1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4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2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7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0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5" Type="http://schemas.openxmlformats.org/officeDocument/2006/relationships/hyperlink" Target="https://legalacts.ru/doc/federalnyi-zakon-ot-01122007-n-315-fz-o/" TargetMode="External"/><Relationship Id="rId5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5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3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8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6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0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9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1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4" Type="http://schemas.openxmlformats.org/officeDocument/2006/relationships/hyperlink" Target="https://legalacts.ru/doc/federalnyi-zakon-ot-01122007-n-315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4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2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7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0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5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3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17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25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3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38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6" Type="http://schemas.openxmlformats.org/officeDocument/2006/relationships/hyperlink" Target="https://legalacts.ru/doc/federalnyi-zakon-ot-01122007-n-315-fz-o/" TargetMode="External"/><Relationship Id="rId20" Type="http://schemas.openxmlformats.org/officeDocument/2006/relationships/hyperlink" Target="https://legalacts.ru/doc/171_FZ-o-gosudarstvennom-regulirovanii-proizvodstva-i-oborota-jetilovogo-spirta_-alkogolnoj-i-spirtosoderzhawej-produkcii/" TargetMode="External"/><Relationship Id="rId41" Type="http://schemas.openxmlformats.org/officeDocument/2006/relationships/hyperlink" Target="https://legalacts.ru/doc/171_FZ-o-gosudarstvennom-regulirovanii-proizvodstva-i-oborota-jetilovogo-spirta_-alkogolnoj-i-spirtosoderzhawej-produk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6218</Words>
  <Characters>35445</Characters>
  <Application>Microsoft Office Word</Application>
  <DocSecurity>0</DocSecurity>
  <Lines>295</Lines>
  <Paragraphs>83</Paragraphs>
  <ScaleCrop>false</ScaleCrop>
  <Company/>
  <LinksUpToDate>false</LinksUpToDate>
  <CharactersWithSpaces>41580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Анатольевна</dc:creator>
  <cp:keywords/>
  <dc:description/>
  <cp:lastModifiedBy>Лазарева Оксана Анатольевна</cp:lastModifiedBy>
  <cp:revision>2</cp:revision>
  <dcterms:created xsi:type="dcterms:W3CDTF">2022-06-30T04:51:00Z</dcterms:created>
  <dcterms:modified xsi:type="dcterms:W3CDTF">2022-06-30T04:58:00Z</dcterms:modified>
</cp:coreProperties>
</file>